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28FAF" w14:textId="6BFDC7E2" w:rsidR="00867EB6" w:rsidRPr="00867EB6" w:rsidRDefault="00867EB6">
      <w:pPr>
        <w:rPr>
          <w:b/>
          <w:bCs/>
          <w:sz w:val="32"/>
          <w:szCs w:val="32"/>
        </w:rPr>
      </w:pPr>
      <w:r w:rsidRPr="00867EB6">
        <w:rPr>
          <w:b/>
          <w:bCs/>
          <w:sz w:val="32"/>
          <w:szCs w:val="32"/>
        </w:rPr>
        <w:t xml:space="preserve">Jochem </w:t>
      </w:r>
      <w:proofErr w:type="spellStart"/>
      <w:r w:rsidRPr="00867EB6">
        <w:rPr>
          <w:b/>
          <w:bCs/>
          <w:sz w:val="32"/>
          <w:szCs w:val="32"/>
        </w:rPr>
        <w:t>Wieringa</w:t>
      </w:r>
      <w:proofErr w:type="spellEnd"/>
    </w:p>
    <w:p w14:paraId="0D4E1D62" w14:textId="7EE7ADA1" w:rsidR="00867EB6" w:rsidRPr="00867EB6" w:rsidRDefault="00867EB6">
      <w:pPr>
        <w:rPr>
          <w:b/>
          <w:bCs/>
          <w:sz w:val="32"/>
          <w:szCs w:val="32"/>
        </w:rPr>
      </w:pPr>
      <w:r w:rsidRPr="00867EB6">
        <w:rPr>
          <w:b/>
          <w:bCs/>
          <w:sz w:val="32"/>
          <w:szCs w:val="32"/>
        </w:rPr>
        <w:t>Questions – October 28, 2024</w:t>
      </w:r>
    </w:p>
    <w:p w14:paraId="39D06665" w14:textId="77777777" w:rsidR="00867EB6" w:rsidRDefault="00867EB6"/>
    <w:p w14:paraId="64285026" w14:textId="34BEB04F" w:rsidR="00897203" w:rsidRPr="00171F37" w:rsidRDefault="00867EB6" w:rsidP="00867EB6">
      <w:pPr>
        <w:rPr>
          <w:b/>
          <w:bCs/>
        </w:rPr>
      </w:pPr>
      <w:r w:rsidRPr="00867EB6">
        <w:rPr>
          <w:b/>
          <w:bCs/>
        </w:rPr>
        <w:t>- The problem with most electrolyzers and all fuel cells atm is the roundtrip efficiency. This is low: 70%x70%=49%, plus extra losses when storing H2. That's too low for most use cases.  What is HyWatts roundtrip efficiency?</w:t>
      </w:r>
    </w:p>
    <w:p w14:paraId="2D90A9C6" w14:textId="45B78108" w:rsidR="00897203" w:rsidRPr="00AC4475" w:rsidRDefault="00897203" w:rsidP="00867EB6">
      <w:r>
        <w:t xml:space="preserve">Given that the intention with long-duration storage is not arbitrage and that the system uses excess energy, RTE is not the right metric to focus on. Our customers care about cost and the fact that we can deliver lower $/kWh &amp; CAPEX versus other solutions, with the </w:t>
      </w:r>
      <w:r w:rsidRPr="00AC4475">
        <w:t xml:space="preserve">added benefit of low-cost green hydrogen. </w:t>
      </w:r>
    </w:p>
    <w:p w14:paraId="29CB00FB" w14:textId="29B3B170" w:rsidR="00AB0977" w:rsidRDefault="00AB0977" w:rsidP="00AB0977">
      <w:pPr>
        <w:rPr>
          <w:highlight w:val="yellow"/>
        </w:rPr>
      </w:pPr>
      <w:r w:rsidRPr="00AC4475">
        <w:t xml:space="preserve">Also, </w:t>
      </w:r>
      <w:r w:rsidR="21615C87" w:rsidRPr="00AC4475">
        <w:t xml:space="preserve">it’s important to note that the </w:t>
      </w:r>
      <w:r w:rsidRPr="00AC4475">
        <w:t xml:space="preserve">49% number </w:t>
      </w:r>
      <w:r w:rsidR="279BBD83" w:rsidRPr="00AC4475">
        <w:t xml:space="preserve">noted is </w:t>
      </w:r>
      <w:r w:rsidRPr="00AC4475">
        <w:t>calculated on the stack level. It doesn’t include other parasitic energy for the balance of plant operation, compression</w:t>
      </w:r>
      <w:r w:rsidR="1405758F" w:rsidRPr="00AC4475">
        <w:t>,</w:t>
      </w:r>
      <w:r w:rsidRPr="00AC4475">
        <w:t xml:space="preserve"> etc. In fact, for </w:t>
      </w:r>
      <w:r w:rsidR="064408E3" w:rsidRPr="00AC4475">
        <w:t xml:space="preserve">a </w:t>
      </w:r>
      <w:r w:rsidRPr="00AC4475">
        <w:t>traditional</w:t>
      </w:r>
      <w:r w:rsidR="4B8BC1F6" w:rsidRPr="00AC4475">
        <w:t xml:space="preserve"> LTPEM H2</w:t>
      </w:r>
      <w:r w:rsidRPr="00AC4475">
        <w:t xml:space="preserve"> system, RTE is around 25%. In our case, the RTE at the system level is 40% because the HTPEM reversible system allows us to recirculate and </w:t>
      </w:r>
      <w:r w:rsidR="36D8CD66" w:rsidRPr="00AC4475">
        <w:t xml:space="preserve">recapture </w:t>
      </w:r>
      <w:r w:rsidRPr="00AC4475">
        <w:t xml:space="preserve">the heat, </w:t>
      </w:r>
      <w:r w:rsidR="00850204" w:rsidRPr="00AC4475">
        <w:t>significantly decreasing</w:t>
      </w:r>
      <w:r w:rsidRPr="00AC4475">
        <w:t xml:space="preserve"> the parasitic energy loss.  And it will be improved with </w:t>
      </w:r>
      <w:r w:rsidR="4EBB27C2" w:rsidRPr="00AC4475">
        <w:t>our</w:t>
      </w:r>
      <w:r w:rsidRPr="00AC4475">
        <w:t xml:space="preserve"> continued development of bi-directional catalysts.</w:t>
      </w:r>
      <w:r w:rsidR="00171F37" w:rsidRPr="00AC4475">
        <w:t xml:space="preserve"> At the same time using one </w:t>
      </w:r>
      <w:r w:rsidR="002541CF" w:rsidRPr="00AC4475">
        <w:t xml:space="preserve">bi-functional </w:t>
      </w:r>
      <w:r w:rsidR="00171F37" w:rsidRPr="00AC4475">
        <w:t>component</w:t>
      </w:r>
      <w:r w:rsidR="002541CF" w:rsidRPr="00AC4475">
        <w:t xml:space="preserve"> (our case) vs. </w:t>
      </w:r>
      <w:r w:rsidR="00C246C6" w:rsidRPr="00AC4475">
        <w:t>two</w:t>
      </w:r>
      <w:r w:rsidR="005D1B76" w:rsidRPr="00AC4475">
        <w:t xml:space="preserve"> separate components (traditional system) </w:t>
      </w:r>
      <w:r w:rsidR="00C246C6" w:rsidRPr="00AC4475">
        <w:t>gives</w:t>
      </w:r>
      <w:r w:rsidR="7E55C3F1" w:rsidRPr="00AC4475">
        <w:t xml:space="preserve"> a</w:t>
      </w:r>
      <w:r w:rsidR="00C246C6" w:rsidRPr="00AC4475">
        <w:t xml:space="preserve"> </w:t>
      </w:r>
      <w:r w:rsidR="26A13644" w:rsidRPr="00AC4475">
        <w:t>2x</w:t>
      </w:r>
      <w:r w:rsidR="00C246C6" w:rsidRPr="00AC4475">
        <w:t xml:space="preserve"> </w:t>
      </w:r>
      <w:r w:rsidR="2233434F" w:rsidRPr="00AC4475">
        <w:t xml:space="preserve">reduction in </w:t>
      </w:r>
      <w:r w:rsidR="00C246C6" w:rsidRPr="00AC4475">
        <w:t xml:space="preserve">CAPEX (which the main driver </w:t>
      </w:r>
      <w:r w:rsidR="0057611F" w:rsidRPr="00AC4475">
        <w:t>for the customer decision).</w:t>
      </w:r>
    </w:p>
    <w:p w14:paraId="00397A78" w14:textId="10D1A5BB" w:rsidR="00867EB6" w:rsidRDefault="00897203" w:rsidP="00867EB6">
      <w:r>
        <w:t xml:space="preserve">However, the round-trip efficiency of the HyWatts energy storage </w:t>
      </w:r>
      <w:r w:rsidRPr="00AC4475">
        <w:rPr>
          <w:b/>
        </w:rPr>
        <w:t>system</w:t>
      </w:r>
      <w:r>
        <w:t>, which combines long-duration hydrogen storage with short-term Li-battery storage, is much higher. Hydrogen storage covers power needs at low production from the solar energy source (‘rainy days’).  The Li battery cycles almost every day, storing energy for peak shaving. That yields an overall RTE of &gt;87% for the HyWatts system.</w:t>
      </w:r>
    </w:p>
    <w:p w14:paraId="24FD45BE" w14:textId="77777777" w:rsidR="00867EB6" w:rsidRPr="00867EB6" w:rsidRDefault="00867EB6" w:rsidP="00867EB6"/>
    <w:p w14:paraId="74908EA9" w14:textId="77777777" w:rsidR="00867EB6" w:rsidRPr="003556B1" w:rsidRDefault="00867EB6" w:rsidP="00867EB6">
      <w:pPr>
        <w:rPr>
          <w:b/>
          <w:bCs/>
        </w:rPr>
      </w:pPr>
      <w:r w:rsidRPr="00867EB6">
        <w:rPr>
          <w:b/>
          <w:bCs/>
        </w:rPr>
        <w:t>- Hydrogen is a tricky medium to store energy: the molecule is so small it permeates everything and escapes. Also leads to high corrosion. What is HyWatts solution for these issues?</w:t>
      </w:r>
    </w:p>
    <w:p w14:paraId="0EBED99E" w14:textId="36AED6BD" w:rsidR="003556B1" w:rsidRDefault="003556B1" w:rsidP="00867EB6">
      <w:r w:rsidRPr="003556B1">
        <w:t>HyWatts addresses the challenges of hydrogen storage by using Type 1 (</w:t>
      </w:r>
      <w:r w:rsidR="002A633E" w:rsidRPr="002A633E">
        <w:t>sp</w:t>
      </w:r>
      <w:r w:rsidR="002A633E">
        <w:t xml:space="preserve">ecial </w:t>
      </w:r>
      <w:r w:rsidRPr="003556B1">
        <w:t xml:space="preserve">steel) gas tanks at 200 </w:t>
      </w:r>
      <w:proofErr w:type="gramStart"/>
      <w:r w:rsidRPr="003556B1">
        <w:t>bar</w:t>
      </w:r>
      <w:proofErr w:type="gramEnd"/>
      <w:r w:rsidRPr="003556B1">
        <w:t xml:space="preserve">, which is the lowest cost option for safely storing hydrogen. </w:t>
      </w:r>
      <w:r w:rsidR="00F825EF">
        <w:t>This</w:t>
      </w:r>
      <w:r w:rsidR="00491603">
        <w:t xml:space="preserve"> technology</w:t>
      </w:r>
      <w:r w:rsidR="00E8656B">
        <w:t xml:space="preserve"> is not new, it</w:t>
      </w:r>
      <w:r w:rsidR="00491603">
        <w:t xml:space="preserve"> has been </w:t>
      </w:r>
      <w:r w:rsidR="00DE4126">
        <w:t>used in industry for</w:t>
      </w:r>
      <w:r w:rsidR="002138B0">
        <w:t xml:space="preserve"> over a half century</w:t>
      </w:r>
      <w:r w:rsidR="006E637B">
        <w:t xml:space="preserve"> and</w:t>
      </w:r>
      <w:r w:rsidR="00CF3CE0">
        <w:t xml:space="preserve"> it </w:t>
      </w:r>
      <w:r w:rsidR="00347D94">
        <w:t xml:space="preserve">is design </w:t>
      </w:r>
      <w:r w:rsidR="00C75278">
        <w:t xml:space="preserve">specifically </w:t>
      </w:r>
      <w:r w:rsidR="00347D94">
        <w:t xml:space="preserve">to account </w:t>
      </w:r>
      <w:r w:rsidR="00245FA8">
        <w:t xml:space="preserve">for </w:t>
      </w:r>
      <w:r w:rsidR="00A0347C">
        <w:t>embrittlement</w:t>
      </w:r>
      <w:r w:rsidR="00895F14">
        <w:t xml:space="preserve"> </w:t>
      </w:r>
      <w:r w:rsidR="007411C2">
        <w:t>and other</w:t>
      </w:r>
      <w:r w:rsidR="000607CA">
        <w:t xml:space="preserve"> potential</w:t>
      </w:r>
      <w:r w:rsidR="00052204">
        <w:t xml:space="preserve"> </w:t>
      </w:r>
      <w:r w:rsidR="000607CA">
        <w:t xml:space="preserve">issues associated with the storage of hydrogen. </w:t>
      </w:r>
      <w:r w:rsidRPr="003556B1">
        <w:t>Additionally, reliable techniques such as hydrogen detectors and control procedures are employed to prevent leaks. This approach leverages mature technology that has been proven in the industry over decades, ensuring safe, cost-effective, and efficient hydrogen storage.</w:t>
      </w:r>
    </w:p>
    <w:p w14:paraId="266223ED" w14:textId="77777777" w:rsidR="003556B1" w:rsidRPr="00867EB6" w:rsidRDefault="003556B1" w:rsidP="00867EB6"/>
    <w:p w14:paraId="68BDCF72" w14:textId="77777777" w:rsidR="00867EB6" w:rsidRPr="00B22342" w:rsidRDefault="00867EB6" w:rsidP="00867EB6">
      <w:pPr>
        <w:rPr>
          <w:b/>
          <w:bCs/>
        </w:rPr>
      </w:pPr>
      <w:r w:rsidRPr="00867EB6">
        <w:rPr>
          <w:b/>
          <w:bCs/>
        </w:rPr>
        <w:t xml:space="preserve">- The roundtrip efficiency of Li-ion batteries is &gt;90%. The prices of Li-ion are dropping continuously. </w:t>
      </w:r>
      <w:proofErr w:type="gramStart"/>
      <w:r w:rsidRPr="00867EB6">
        <w:rPr>
          <w:b/>
          <w:bCs/>
        </w:rPr>
        <w:t>Actually</w:t>
      </w:r>
      <w:proofErr w:type="gramEnd"/>
      <w:r w:rsidRPr="00867EB6">
        <w:rPr>
          <w:b/>
          <w:bCs/>
        </w:rPr>
        <w:t xml:space="preserve"> the prices in </w:t>
      </w:r>
      <w:proofErr w:type="spellStart"/>
      <w:r w:rsidRPr="00867EB6">
        <w:rPr>
          <w:b/>
          <w:bCs/>
        </w:rPr>
        <w:t>HyWatt's</w:t>
      </w:r>
      <w:proofErr w:type="spellEnd"/>
      <w:r w:rsidRPr="00867EB6">
        <w:rPr>
          <w:b/>
          <w:bCs/>
        </w:rPr>
        <w:t xml:space="preserve"> deck are already outdated, let alone the Li-ion price in a few years when HyWatts is going to market in larger scale. How will they be competitive??</w:t>
      </w:r>
    </w:p>
    <w:p w14:paraId="038E76FD" w14:textId="68EC75DA" w:rsidR="00B22342" w:rsidRPr="00531983" w:rsidRDefault="00B22342" w:rsidP="00867EB6">
      <w:r>
        <w:t xml:space="preserve">In our deck we used </w:t>
      </w:r>
      <w:r w:rsidR="001B0AAE">
        <w:t xml:space="preserve">costs received from </w:t>
      </w:r>
      <w:r>
        <w:t>Tesla</w:t>
      </w:r>
      <w:r w:rsidR="001B0AAE">
        <w:t xml:space="preserve">, </w:t>
      </w:r>
      <w:r>
        <w:t>which is the most reliable battery</w:t>
      </w:r>
      <w:r w:rsidR="00A63757">
        <w:t>. Additionally</w:t>
      </w:r>
      <w:r w:rsidR="0015368D" w:rsidRPr="00850204">
        <w:t>,</w:t>
      </w:r>
      <w:r w:rsidR="00A63757">
        <w:t xml:space="preserve"> it is important to look at the system level cost as the point of comparison, not the cell level</w:t>
      </w:r>
      <w:r w:rsidR="0015368D" w:rsidRPr="00850204">
        <w:t>,</w:t>
      </w:r>
      <w:r w:rsidR="00060FA8">
        <w:t xml:space="preserve"> as one just account</w:t>
      </w:r>
      <w:r w:rsidR="0015368D" w:rsidRPr="00850204">
        <w:t>s</w:t>
      </w:r>
      <w:r w:rsidR="00060FA8">
        <w:t xml:space="preserve"> for cooling,</w:t>
      </w:r>
      <w:r w:rsidR="00D63146">
        <w:t xml:space="preserve"> inverters, and other</w:t>
      </w:r>
      <w:r w:rsidR="001003E5">
        <w:t xml:space="preserve"> balance of </w:t>
      </w:r>
      <w:r w:rsidR="0015368D" w:rsidRPr="00850204">
        <w:t xml:space="preserve">the </w:t>
      </w:r>
      <w:r w:rsidR="001003E5">
        <w:t>plan.</w:t>
      </w:r>
      <w:r w:rsidR="00531983" w:rsidRPr="00531983">
        <w:t xml:space="preserve"> </w:t>
      </w:r>
      <w:r w:rsidR="001E2FED">
        <w:t>The i</w:t>
      </w:r>
      <w:r w:rsidR="00531983">
        <w:t xml:space="preserve">ndustry price for </w:t>
      </w:r>
      <w:r w:rsidR="001E2FED">
        <w:t xml:space="preserve">an </w:t>
      </w:r>
      <w:r w:rsidR="00531983">
        <w:t xml:space="preserve">all-included solution is </w:t>
      </w:r>
      <w:r w:rsidR="001E2FED">
        <w:t>$</w:t>
      </w:r>
      <w:r w:rsidR="00D31D21">
        <w:t>180-250</w:t>
      </w:r>
      <w:r w:rsidR="001E2FED">
        <w:t>/kWh (US market).</w:t>
      </w:r>
    </w:p>
    <w:p w14:paraId="7F19356A" w14:textId="78BE84C8" w:rsidR="00B22342" w:rsidRDefault="00B22342" w:rsidP="00867EB6">
      <w:r w:rsidRPr="00B22342">
        <w:t>While the round-trip efficiency of HyWatts' system is around 40%, much lower than that of Li-ion batteries (~90%), the primary cost factor for long-duration energy storage systems is capital cost, not efficiency. HyWatts' technology focuses on reducing the overall cost of energy storage, which is the critical metric for our customers. Additionally, HyWatts' High Temperature PEM Reversible Fuel Cells can reduce the cost of hydrogen-based storage systems by 40%, providing a significant competitive edge.</w:t>
      </w:r>
    </w:p>
    <w:p w14:paraId="5D036AA5" w14:textId="60E59AEE" w:rsidR="00DF1F85" w:rsidRDefault="0D88B2EC" w:rsidP="00867EB6">
      <w:pPr>
        <w:rPr>
          <w:lang w:val="ru-RU"/>
        </w:rPr>
      </w:pPr>
      <w:r>
        <w:t>Another advantage of our system is in terms of cost of scalability – we can double capacity with only a 10-15% cost increase as it is just a matter of adding additional storage canisters, rather than having to duplicate the entire system as one does with battery technolo</w:t>
      </w:r>
      <w:r w:rsidR="3FA413A1">
        <w:t>gy. Further, we have a much simpler and less problematic supply chain given that we do not use rare-earth elements such as cobalt &amp; lithium nor does our system PFASs.</w:t>
      </w:r>
    </w:p>
    <w:p w14:paraId="3E2C6CCF" w14:textId="77777777" w:rsidR="00380097" w:rsidRPr="00380097" w:rsidRDefault="00380097" w:rsidP="00867EB6">
      <w:pPr>
        <w:rPr>
          <w:lang w:val="ru-RU"/>
        </w:rPr>
      </w:pPr>
    </w:p>
    <w:p w14:paraId="54CC3163" w14:textId="77777777" w:rsidR="00867EB6" w:rsidRPr="00867EB6" w:rsidRDefault="00867EB6" w:rsidP="00867EB6">
      <w:pPr>
        <w:rPr>
          <w:b/>
          <w:bCs/>
        </w:rPr>
      </w:pPr>
      <w:r w:rsidRPr="00867EB6">
        <w:rPr>
          <w:b/>
          <w:bCs/>
        </w:rPr>
        <w:t xml:space="preserve">- Not tech related, but still of importance: If HyPoint did a 100m exit, why doesn't Alex fund (part of) his own pre-seed? Even if the exit was not in cash but shares, he must have SOME way of funding part of this round himself given he has quite some assets? </w:t>
      </w:r>
      <w:proofErr w:type="gramStart"/>
      <w:r w:rsidRPr="00867EB6">
        <w:rPr>
          <w:b/>
          <w:bCs/>
        </w:rPr>
        <w:t>Also</w:t>
      </w:r>
      <w:proofErr w:type="gramEnd"/>
      <w:r w:rsidRPr="00867EB6">
        <w:rPr>
          <w:b/>
          <w:bCs/>
        </w:rPr>
        <w:t xml:space="preserve"> the numbers in this acquisition don't intuitively make sense: at the moment of acquisition HyPoint had raised only 5m in a large number of small funding rounds according to </w:t>
      </w:r>
      <w:proofErr w:type="spellStart"/>
      <w:r w:rsidRPr="00867EB6">
        <w:rPr>
          <w:b/>
          <w:bCs/>
        </w:rPr>
        <w:t>crunchbase</w:t>
      </w:r>
      <w:proofErr w:type="spellEnd"/>
      <w:r w:rsidRPr="00867EB6">
        <w:rPr>
          <w:b/>
          <w:bCs/>
        </w:rPr>
        <w:t>. That's not an amount of money normally associated with a 100m valuation. The buyer ZeroAvia had only raised around 80m in 2022 themselves, which they presumably burned mostly on their own R&amp;D. How can they have paid 100m for this acquisition? What's the story here and what were the numbers?</w:t>
      </w:r>
    </w:p>
    <w:p w14:paraId="76EC6634" w14:textId="77777777" w:rsidR="00867EB6" w:rsidRPr="002B646B" w:rsidRDefault="00867EB6">
      <w:pPr>
        <w:rPr>
          <w:b/>
          <w:bCs/>
        </w:rPr>
      </w:pPr>
    </w:p>
    <w:p w14:paraId="1604BD49" w14:textId="380411E2" w:rsidR="00AB7609" w:rsidRPr="00AB7609" w:rsidRDefault="002B646B" w:rsidP="00AB7609">
      <w:r>
        <w:t xml:space="preserve">Alex: </w:t>
      </w:r>
      <w:r w:rsidR="006F51B6">
        <w:t xml:space="preserve">Thank you for </w:t>
      </w:r>
      <w:r w:rsidR="00E148D0">
        <w:t>letting me know about your concerns on this matter. I’ll</w:t>
      </w:r>
      <w:r w:rsidR="00E148D0" w:rsidRPr="00E148D0">
        <w:t xml:space="preserve"> </w:t>
      </w:r>
      <w:r w:rsidR="00123EA8">
        <w:t>be</w:t>
      </w:r>
      <w:r w:rsidR="00E148D0" w:rsidRPr="00E148D0">
        <w:t xml:space="preserve"> </w:t>
      </w:r>
      <w:r w:rsidR="00E148D0">
        <w:t xml:space="preserve">happy to provide more details. </w:t>
      </w:r>
      <w:r w:rsidR="00AB7609">
        <w:t>I can’t comment on the data from Crunchbase and other open platforms, because I have no idea where the data came from. Hy</w:t>
      </w:r>
      <w:r w:rsidR="00675215">
        <w:t xml:space="preserve">Point itself raised about $15M in total and not $5M. </w:t>
      </w:r>
    </w:p>
    <w:p w14:paraId="14B0B7DF" w14:textId="7DB5AF0B" w:rsidR="00E22269" w:rsidRDefault="009A5263">
      <w:r>
        <w:t>The deal was at $100M cap</w:t>
      </w:r>
      <w:r w:rsidR="00E22269">
        <w:t>. There are two parts of earnouts:</w:t>
      </w:r>
    </w:p>
    <w:p w14:paraId="2896B7AF" w14:textId="77777777" w:rsidR="00675215" w:rsidRDefault="00E22269" w:rsidP="00D71B38">
      <w:pPr>
        <w:pStyle w:val="ListParagraph"/>
        <w:numPr>
          <w:ilvl w:val="0"/>
          <w:numId w:val="1"/>
        </w:numPr>
      </w:pPr>
      <w:r>
        <w:t xml:space="preserve">$80M </w:t>
      </w:r>
      <w:r w:rsidR="00D71B38">
        <w:t xml:space="preserve">with ZeroAvia shares (equity). You may refer to the official filing on SEC website - </w:t>
      </w:r>
      <w:hyperlink r:id="rId8" w:history="1">
        <w:r w:rsidR="00D71B38" w:rsidRPr="004F4EA6">
          <w:rPr>
            <w:rStyle w:val="Hyperlink"/>
          </w:rPr>
          <w:t>LINK</w:t>
        </w:r>
      </w:hyperlink>
    </w:p>
    <w:p w14:paraId="2186F0A3" w14:textId="7E632290" w:rsidR="00D71B38" w:rsidRDefault="00D71B38" w:rsidP="00D71B38">
      <w:pPr>
        <w:pStyle w:val="ListParagraph"/>
        <w:numPr>
          <w:ilvl w:val="0"/>
          <w:numId w:val="1"/>
        </w:numPr>
      </w:pPr>
      <w:r>
        <w:t xml:space="preserve">$20M </w:t>
      </w:r>
      <w:r w:rsidR="00AB7609">
        <w:t>with cash for buyouts of a few early investors, founders</w:t>
      </w:r>
      <w:r w:rsidR="002B646B">
        <w:t>,</w:t>
      </w:r>
      <w:r w:rsidR="00AB7609">
        <w:t xml:space="preserve"> and team bonus.</w:t>
      </w:r>
    </w:p>
    <w:p w14:paraId="6F1BC680" w14:textId="2BDF1637" w:rsidR="00675215" w:rsidRDefault="00675215" w:rsidP="00675215">
      <w:r>
        <w:t xml:space="preserve">I personally received $1M cash (before US taxes, which is about 40%) and $9M in ZA shares. I used those funds </w:t>
      </w:r>
      <w:r w:rsidR="00F9258F">
        <w:t xml:space="preserve">to purchase a townhouse in </w:t>
      </w:r>
      <w:r w:rsidR="005F5CAE">
        <w:t xml:space="preserve">the </w:t>
      </w:r>
      <w:r w:rsidR="00F9258F">
        <w:t>Bay Area and about $200k cash I invested in the company as a part of the first $1M</w:t>
      </w:r>
      <w:r w:rsidR="002B646B">
        <w:t xml:space="preserve"> at the same terms as others – SAFE $12M post-money cap.</w:t>
      </w:r>
    </w:p>
    <w:p w14:paraId="0D8D4F61" w14:textId="398D5784" w:rsidR="002B646B" w:rsidRDefault="002B646B" w:rsidP="00675215">
      <w:r>
        <w:t>Let me know if you need more details.</w:t>
      </w:r>
    </w:p>
    <w:p w14:paraId="7DAEEF8E" w14:textId="77777777" w:rsidR="00F9258F" w:rsidRDefault="00F9258F" w:rsidP="00675215"/>
    <w:p w14:paraId="340F3C75" w14:textId="77777777" w:rsidR="00F9258F" w:rsidRPr="0003035B" w:rsidRDefault="00F9258F" w:rsidP="00675215"/>
    <w:sectPr w:rsidR="00F9258F" w:rsidRPr="00030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677CE"/>
    <w:multiLevelType w:val="hybridMultilevel"/>
    <w:tmpl w:val="C66A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60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B6"/>
    <w:rsid w:val="00010083"/>
    <w:rsid w:val="000108DD"/>
    <w:rsid w:val="0003035B"/>
    <w:rsid w:val="000368C1"/>
    <w:rsid w:val="00047DA3"/>
    <w:rsid w:val="00052204"/>
    <w:rsid w:val="00054B71"/>
    <w:rsid w:val="0005700D"/>
    <w:rsid w:val="000607CA"/>
    <w:rsid w:val="00060FA8"/>
    <w:rsid w:val="00065628"/>
    <w:rsid w:val="00086B1B"/>
    <w:rsid w:val="00097F1F"/>
    <w:rsid w:val="000A5229"/>
    <w:rsid w:val="000E3C7B"/>
    <w:rsid w:val="000E5E92"/>
    <w:rsid w:val="000F39FC"/>
    <w:rsid w:val="000F76F3"/>
    <w:rsid w:val="001003E5"/>
    <w:rsid w:val="00106567"/>
    <w:rsid w:val="00111145"/>
    <w:rsid w:val="001205CF"/>
    <w:rsid w:val="00123EA8"/>
    <w:rsid w:val="001504F0"/>
    <w:rsid w:val="0015368D"/>
    <w:rsid w:val="00171F37"/>
    <w:rsid w:val="001B0AAE"/>
    <w:rsid w:val="001E2FED"/>
    <w:rsid w:val="00204EE4"/>
    <w:rsid w:val="002138B0"/>
    <w:rsid w:val="00233996"/>
    <w:rsid w:val="00233B56"/>
    <w:rsid w:val="00245FA8"/>
    <w:rsid w:val="002541CF"/>
    <w:rsid w:val="002624E3"/>
    <w:rsid w:val="00276EB1"/>
    <w:rsid w:val="0029283E"/>
    <w:rsid w:val="002A633E"/>
    <w:rsid w:val="002B63F8"/>
    <w:rsid w:val="002B646B"/>
    <w:rsid w:val="002C0005"/>
    <w:rsid w:val="002C090B"/>
    <w:rsid w:val="0034160F"/>
    <w:rsid w:val="00347D94"/>
    <w:rsid w:val="00353875"/>
    <w:rsid w:val="003556B1"/>
    <w:rsid w:val="003560B7"/>
    <w:rsid w:val="003726B8"/>
    <w:rsid w:val="00377C12"/>
    <w:rsid w:val="00380097"/>
    <w:rsid w:val="00380B7F"/>
    <w:rsid w:val="00390F18"/>
    <w:rsid w:val="003B5893"/>
    <w:rsid w:val="003B62C0"/>
    <w:rsid w:val="003F7C45"/>
    <w:rsid w:val="004004E4"/>
    <w:rsid w:val="0043307A"/>
    <w:rsid w:val="004502F1"/>
    <w:rsid w:val="00452539"/>
    <w:rsid w:val="00454747"/>
    <w:rsid w:val="00491603"/>
    <w:rsid w:val="004A7FBD"/>
    <w:rsid w:val="004C3CBE"/>
    <w:rsid w:val="004F4EA6"/>
    <w:rsid w:val="005201AB"/>
    <w:rsid w:val="00531983"/>
    <w:rsid w:val="0057611F"/>
    <w:rsid w:val="0058543F"/>
    <w:rsid w:val="005D1B76"/>
    <w:rsid w:val="005F5CAE"/>
    <w:rsid w:val="0061725C"/>
    <w:rsid w:val="00626FFE"/>
    <w:rsid w:val="00632D49"/>
    <w:rsid w:val="00642EA9"/>
    <w:rsid w:val="00652365"/>
    <w:rsid w:val="006609AB"/>
    <w:rsid w:val="0066211E"/>
    <w:rsid w:val="00675215"/>
    <w:rsid w:val="00675B9D"/>
    <w:rsid w:val="006763EF"/>
    <w:rsid w:val="006A0C09"/>
    <w:rsid w:val="006A4DC0"/>
    <w:rsid w:val="006B4BCA"/>
    <w:rsid w:val="006E072F"/>
    <w:rsid w:val="006E6227"/>
    <w:rsid w:val="006E637B"/>
    <w:rsid w:val="006F51B6"/>
    <w:rsid w:val="00704938"/>
    <w:rsid w:val="00722B27"/>
    <w:rsid w:val="007343B1"/>
    <w:rsid w:val="00734A73"/>
    <w:rsid w:val="007411C2"/>
    <w:rsid w:val="00741C66"/>
    <w:rsid w:val="00764A13"/>
    <w:rsid w:val="007704AA"/>
    <w:rsid w:val="007709C4"/>
    <w:rsid w:val="00775466"/>
    <w:rsid w:val="007E5762"/>
    <w:rsid w:val="007E5A1A"/>
    <w:rsid w:val="00807EEF"/>
    <w:rsid w:val="00814257"/>
    <w:rsid w:val="00841988"/>
    <w:rsid w:val="00850204"/>
    <w:rsid w:val="00867EB6"/>
    <w:rsid w:val="00875D3C"/>
    <w:rsid w:val="00877665"/>
    <w:rsid w:val="008861AE"/>
    <w:rsid w:val="0089249F"/>
    <w:rsid w:val="00895F14"/>
    <w:rsid w:val="00897203"/>
    <w:rsid w:val="00897237"/>
    <w:rsid w:val="008A4B3C"/>
    <w:rsid w:val="008A7525"/>
    <w:rsid w:val="008B2F4C"/>
    <w:rsid w:val="008B4403"/>
    <w:rsid w:val="008E08A4"/>
    <w:rsid w:val="008E10E1"/>
    <w:rsid w:val="008F65EF"/>
    <w:rsid w:val="00915D70"/>
    <w:rsid w:val="00932C3A"/>
    <w:rsid w:val="00941BD8"/>
    <w:rsid w:val="00941BFC"/>
    <w:rsid w:val="009466AB"/>
    <w:rsid w:val="009842D7"/>
    <w:rsid w:val="009A5263"/>
    <w:rsid w:val="009D438A"/>
    <w:rsid w:val="00A0347C"/>
    <w:rsid w:val="00A31970"/>
    <w:rsid w:val="00A4456E"/>
    <w:rsid w:val="00A5442F"/>
    <w:rsid w:val="00A6056B"/>
    <w:rsid w:val="00A63757"/>
    <w:rsid w:val="00A74B11"/>
    <w:rsid w:val="00AA18FB"/>
    <w:rsid w:val="00AA20CC"/>
    <w:rsid w:val="00AB0977"/>
    <w:rsid w:val="00AB56E8"/>
    <w:rsid w:val="00AB67BD"/>
    <w:rsid w:val="00AB7609"/>
    <w:rsid w:val="00AC4475"/>
    <w:rsid w:val="00AC58E1"/>
    <w:rsid w:val="00AD5746"/>
    <w:rsid w:val="00AD5952"/>
    <w:rsid w:val="00AD69E1"/>
    <w:rsid w:val="00AE1EF0"/>
    <w:rsid w:val="00AE69BE"/>
    <w:rsid w:val="00AF21D6"/>
    <w:rsid w:val="00B1481A"/>
    <w:rsid w:val="00B20C57"/>
    <w:rsid w:val="00B22342"/>
    <w:rsid w:val="00B249F7"/>
    <w:rsid w:val="00B36C70"/>
    <w:rsid w:val="00B8522D"/>
    <w:rsid w:val="00B97BF8"/>
    <w:rsid w:val="00BD148F"/>
    <w:rsid w:val="00BE3883"/>
    <w:rsid w:val="00BF6D03"/>
    <w:rsid w:val="00BF745D"/>
    <w:rsid w:val="00C07110"/>
    <w:rsid w:val="00C07FE0"/>
    <w:rsid w:val="00C207FB"/>
    <w:rsid w:val="00C246C6"/>
    <w:rsid w:val="00C36324"/>
    <w:rsid w:val="00C46E3A"/>
    <w:rsid w:val="00C55836"/>
    <w:rsid w:val="00C57C0E"/>
    <w:rsid w:val="00C71E0A"/>
    <w:rsid w:val="00C75278"/>
    <w:rsid w:val="00C85F5C"/>
    <w:rsid w:val="00CA2FD6"/>
    <w:rsid w:val="00CA3DFA"/>
    <w:rsid w:val="00CA6418"/>
    <w:rsid w:val="00CE69E3"/>
    <w:rsid w:val="00CE77A0"/>
    <w:rsid w:val="00CF3CE0"/>
    <w:rsid w:val="00D31D21"/>
    <w:rsid w:val="00D4598B"/>
    <w:rsid w:val="00D571E3"/>
    <w:rsid w:val="00D63146"/>
    <w:rsid w:val="00D648BC"/>
    <w:rsid w:val="00D71B38"/>
    <w:rsid w:val="00D81672"/>
    <w:rsid w:val="00D951E2"/>
    <w:rsid w:val="00DA2154"/>
    <w:rsid w:val="00DC037D"/>
    <w:rsid w:val="00DC3FC8"/>
    <w:rsid w:val="00DC43A8"/>
    <w:rsid w:val="00DC6825"/>
    <w:rsid w:val="00DD4AFE"/>
    <w:rsid w:val="00DE39B4"/>
    <w:rsid w:val="00DE4126"/>
    <w:rsid w:val="00DF1AA7"/>
    <w:rsid w:val="00DF1F85"/>
    <w:rsid w:val="00E148D0"/>
    <w:rsid w:val="00E22269"/>
    <w:rsid w:val="00E3182C"/>
    <w:rsid w:val="00E621C2"/>
    <w:rsid w:val="00E8656B"/>
    <w:rsid w:val="00EA3532"/>
    <w:rsid w:val="00EA53E5"/>
    <w:rsid w:val="00EA7D5D"/>
    <w:rsid w:val="00EB7CA1"/>
    <w:rsid w:val="00EC4181"/>
    <w:rsid w:val="00EF1D82"/>
    <w:rsid w:val="00F036B9"/>
    <w:rsid w:val="00F06E75"/>
    <w:rsid w:val="00F1422B"/>
    <w:rsid w:val="00F27A5E"/>
    <w:rsid w:val="00F40E4D"/>
    <w:rsid w:val="00F67E05"/>
    <w:rsid w:val="00F75AAB"/>
    <w:rsid w:val="00F825EF"/>
    <w:rsid w:val="00F9258F"/>
    <w:rsid w:val="00FB155E"/>
    <w:rsid w:val="00FB2667"/>
    <w:rsid w:val="00FC4D7A"/>
    <w:rsid w:val="00FD4EB9"/>
    <w:rsid w:val="00FF3E23"/>
    <w:rsid w:val="00FF55F0"/>
    <w:rsid w:val="061E4B6C"/>
    <w:rsid w:val="064408E3"/>
    <w:rsid w:val="07477371"/>
    <w:rsid w:val="087E745E"/>
    <w:rsid w:val="0BD4B86B"/>
    <w:rsid w:val="0C3E44E6"/>
    <w:rsid w:val="0D5102CA"/>
    <w:rsid w:val="0D88B2EC"/>
    <w:rsid w:val="0F7808B2"/>
    <w:rsid w:val="0FBACFCA"/>
    <w:rsid w:val="0FBE9FFE"/>
    <w:rsid w:val="10637950"/>
    <w:rsid w:val="1138A0B8"/>
    <w:rsid w:val="1195F1D0"/>
    <w:rsid w:val="11B33003"/>
    <w:rsid w:val="13DC0EE1"/>
    <w:rsid w:val="1405758F"/>
    <w:rsid w:val="1522449B"/>
    <w:rsid w:val="1808A7F1"/>
    <w:rsid w:val="19493A0A"/>
    <w:rsid w:val="19E0C428"/>
    <w:rsid w:val="19FDCDA2"/>
    <w:rsid w:val="1DBBB845"/>
    <w:rsid w:val="1EE2A79E"/>
    <w:rsid w:val="1F4BCD58"/>
    <w:rsid w:val="1FDD88E1"/>
    <w:rsid w:val="21615C87"/>
    <w:rsid w:val="2233434F"/>
    <w:rsid w:val="2309CFEC"/>
    <w:rsid w:val="238CC6C8"/>
    <w:rsid w:val="26778E13"/>
    <w:rsid w:val="26A13644"/>
    <w:rsid w:val="26F9A1E8"/>
    <w:rsid w:val="271D5587"/>
    <w:rsid w:val="279BBD83"/>
    <w:rsid w:val="2CB95062"/>
    <w:rsid w:val="2FB8C188"/>
    <w:rsid w:val="3260F39C"/>
    <w:rsid w:val="36D8CD66"/>
    <w:rsid w:val="38D9B9C5"/>
    <w:rsid w:val="38E6D7F5"/>
    <w:rsid w:val="39222F6C"/>
    <w:rsid w:val="3B4FC073"/>
    <w:rsid w:val="3C1BA41C"/>
    <w:rsid w:val="3DD13221"/>
    <w:rsid w:val="3E54FB57"/>
    <w:rsid w:val="3F1DCB9E"/>
    <w:rsid w:val="3FA413A1"/>
    <w:rsid w:val="3FA95BA8"/>
    <w:rsid w:val="3FE9C4BB"/>
    <w:rsid w:val="47A7756A"/>
    <w:rsid w:val="4B8BC1F6"/>
    <w:rsid w:val="4C856D1E"/>
    <w:rsid w:val="4EBB27C2"/>
    <w:rsid w:val="50F52D71"/>
    <w:rsid w:val="56B426B3"/>
    <w:rsid w:val="570E4D3B"/>
    <w:rsid w:val="60824479"/>
    <w:rsid w:val="61CB82CD"/>
    <w:rsid w:val="62C84A8A"/>
    <w:rsid w:val="62F52B6B"/>
    <w:rsid w:val="672626E6"/>
    <w:rsid w:val="6BE82FA2"/>
    <w:rsid w:val="6CD9F2F6"/>
    <w:rsid w:val="6E19D629"/>
    <w:rsid w:val="6E5AEE38"/>
    <w:rsid w:val="6F8E87F9"/>
    <w:rsid w:val="712F77AC"/>
    <w:rsid w:val="7155BA9A"/>
    <w:rsid w:val="7392D762"/>
    <w:rsid w:val="775EBA72"/>
    <w:rsid w:val="78F2DDAE"/>
    <w:rsid w:val="7A7EFE67"/>
    <w:rsid w:val="7C717A14"/>
    <w:rsid w:val="7DA90A60"/>
    <w:rsid w:val="7DE100B0"/>
    <w:rsid w:val="7E55C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EC0E7"/>
  <w15:chartTrackingRefBased/>
  <w15:docId w15:val="{60165A8C-89F1-4575-B21A-5C809A74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EB6"/>
    <w:rPr>
      <w:rFonts w:eastAsiaTheme="majorEastAsia" w:cstheme="majorBidi"/>
      <w:color w:val="272727" w:themeColor="text1" w:themeTint="D8"/>
    </w:rPr>
  </w:style>
  <w:style w:type="paragraph" w:styleId="Title">
    <w:name w:val="Title"/>
    <w:basedOn w:val="Normal"/>
    <w:next w:val="Normal"/>
    <w:link w:val="TitleChar"/>
    <w:uiPriority w:val="10"/>
    <w:qFormat/>
    <w:rsid w:val="00867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EB6"/>
    <w:pPr>
      <w:spacing w:before="160"/>
      <w:jc w:val="center"/>
    </w:pPr>
    <w:rPr>
      <w:i/>
      <w:iCs/>
      <w:color w:val="404040" w:themeColor="text1" w:themeTint="BF"/>
    </w:rPr>
  </w:style>
  <w:style w:type="character" w:customStyle="1" w:styleId="QuoteChar">
    <w:name w:val="Quote Char"/>
    <w:basedOn w:val="DefaultParagraphFont"/>
    <w:link w:val="Quote"/>
    <w:uiPriority w:val="29"/>
    <w:rsid w:val="00867EB6"/>
    <w:rPr>
      <w:i/>
      <w:iCs/>
      <w:color w:val="404040" w:themeColor="text1" w:themeTint="BF"/>
    </w:rPr>
  </w:style>
  <w:style w:type="paragraph" w:styleId="ListParagraph">
    <w:name w:val="List Paragraph"/>
    <w:basedOn w:val="Normal"/>
    <w:uiPriority w:val="34"/>
    <w:qFormat/>
    <w:rsid w:val="00867EB6"/>
    <w:pPr>
      <w:ind w:left="720"/>
      <w:contextualSpacing/>
    </w:pPr>
  </w:style>
  <w:style w:type="character" w:styleId="IntenseEmphasis">
    <w:name w:val="Intense Emphasis"/>
    <w:basedOn w:val="DefaultParagraphFont"/>
    <w:uiPriority w:val="21"/>
    <w:qFormat/>
    <w:rsid w:val="00867EB6"/>
    <w:rPr>
      <w:i/>
      <w:iCs/>
      <w:color w:val="0F4761" w:themeColor="accent1" w:themeShade="BF"/>
    </w:rPr>
  </w:style>
  <w:style w:type="paragraph" w:styleId="IntenseQuote">
    <w:name w:val="Intense Quote"/>
    <w:basedOn w:val="Normal"/>
    <w:next w:val="Normal"/>
    <w:link w:val="IntenseQuoteChar"/>
    <w:uiPriority w:val="30"/>
    <w:qFormat/>
    <w:rsid w:val="00867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EB6"/>
    <w:rPr>
      <w:i/>
      <w:iCs/>
      <w:color w:val="0F4761" w:themeColor="accent1" w:themeShade="BF"/>
    </w:rPr>
  </w:style>
  <w:style w:type="character" w:styleId="IntenseReference">
    <w:name w:val="Intense Reference"/>
    <w:basedOn w:val="DefaultParagraphFont"/>
    <w:uiPriority w:val="32"/>
    <w:qFormat/>
    <w:rsid w:val="00867EB6"/>
    <w:rPr>
      <w:b/>
      <w:bCs/>
      <w:smallCaps/>
      <w:color w:val="0F4761" w:themeColor="accent1" w:themeShade="BF"/>
      <w:spacing w:val="5"/>
    </w:rPr>
  </w:style>
  <w:style w:type="character" w:styleId="CommentReference">
    <w:name w:val="annotation reference"/>
    <w:basedOn w:val="DefaultParagraphFont"/>
    <w:uiPriority w:val="99"/>
    <w:semiHidden/>
    <w:unhideWhenUsed/>
    <w:rsid w:val="00CA2FD6"/>
    <w:rPr>
      <w:sz w:val="16"/>
      <w:szCs w:val="16"/>
    </w:rPr>
  </w:style>
  <w:style w:type="paragraph" w:styleId="CommentText">
    <w:name w:val="annotation text"/>
    <w:basedOn w:val="Normal"/>
    <w:link w:val="CommentTextChar"/>
    <w:uiPriority w:val="99"/>
    <w:unhideWhenUsed/>
    <w:rsid w:val="00CA2FD6"/>
    <w:pPr>
      <w:spacing w:line="240" w:lineRule="auto"/>
    </w:pPr>
    <w:rPr>
      <w:sz w:val="20"/>
      <w:szCs w:val="20"/>
    </w:rPr>
  </w:style>
  <w:style w:type="character" w:customStyle="1" w:styleId="CommentTextChar">
    <w:name w:val="Comment Text Char"/>
    <w:basedOn w:val="DefaultParagraphFont"/>
    <w:link w:val="CommentText"/>
    <w:uiPriority w:val="99"/>
    <w:rsid w:val="00CA2FD6"/>
    <w:rPr>
      <w:sz w:val="20"/>
      <w:szCs w:val="20"/>
    </w:rPr>
  </w:style>
  <w:style w:type="paragraph" w:styleId="CommentSubject">
    <w:name w:val="annotation subject"/>
    <w:basedOn w:val="CommentText"/>
    <w:next w:val="CommentText"/>
    <w:link w:val="CommentSubjectChar"/>
    <w:uiPriority w:val="99"/>
    <w:semiHidden/>
    <w:unhideWhenUsed/>
    <w:rsid w:val="00CA2FD6"/>
    <w:rPr>
      <w:b/>
      <w:bCs/>
    </w:rPr>
  </w:style>
  <w:style w:type="character" w:customStyle="1" w:styleId="CommentSubjectChar">
    <w:name w:val="Comment Subject Char"/>
    <w:basedOn w:val="CommentTextChar"/>
    <w:link w:val="CommentSubject"/>
    <w:uiPriority w:val="99"/>
    <w:semiHidden/>
    <w:rsid w:val="00CA2FD6"/>
    <w:rPr>
      <w:b/>
      <w:bCs/>
      <w:sz w:val="20"/>
      <w:szCs w:val="20"/>
    </w:rPr>
  </w:style>
  <w:style w:type="character" w:styleId="Hyperlink">
    <w:name w:val="Hyperlink"/>
    <w:basedOn w:val="DefaultParagraphFont"/>
    <w:uiPriority w:val="99"/>
    <w:unhideWhenUsed/>
    <w:rsid w:val="004F4EA6"/>
    <w:rPr>
      <w:color w:val="467886" w:themeColor="hyperlink"/>
      <w:u w:val="single"/>
    </w:rPr>
  </w:style>
  <w:style w:type="character" w:styleId="UnresolvedMention">
    <w:name w:val="Unresolved Mention"/>
    <w:basedOn w:val="DefaultParagraphFont"/>
    <w:uiPriority w:val="99"/>
    <w:semiHidden/>
    <w:unhideWhenUsed/>
    <w:rsid w:val="004F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050590">
      <w:bodyDiv w:val="1"/>
      <w:marLeft w:val="0"/>
      <w:marRight w:val="0"/>
      <w:marTop w:val="0"/>
      <w:marBottom w:val="0"/>
      <w:divBdr>
        <w:top w:val="none" w:sz="0" w:space="0" w:color="auto"/>
        <w:left w:val="none" w:sz="0" w:space="0" w:color="auto"/>
        <w:bottom w:val="none" w:sz="0" w:space="0" w:color="auto"/>
        <w:right w:val="none" w:sz="0" w:space="0" w:color="auto"/>
      </w:divBdr>
      <w:divsChild>
        <w:div w:id="68383700">
          <w:marLeft w:val="0"/>
          <w:marRight w:val="0"/>
          <w:marTop w:val="0"/>
          <w:marBottom w:val="0"/>
          <w:divBdr>
            <w:top w:val="none" w:sz="0" w:space="0" w:color="auto"/>
            <w:left w:val="none" w:sz="0" w:space="0" w:color="auto"/>
            <w:bottom w:val="none" w:sz="0" w:space="0" w:color="auto"/>
            <w:right w:val="none" w:sz="0" w:space="0" w:color="auto"/>
          </w:divBdr>
        </w:div>
        <w:div w:id="373189914">
          <w:marLeft w:val="0"/>
          <w:marRight w:val="0"/>
          <w:marTop w:val="0"/>
          <w:marBottom w:val="0"/>
          <w:divBdr>
            <w:top w:val="none" w:sz="0" w:space="0" w:color="auto"/>
            <w:left w:val="none" w:sz="0" w:space="0" w:color="auto"/>
            <w:bottom w:val="none" w:sz="0" w:space="0" w:color="auto"/>
            <w:right w:val="none" w:sz="0" w:space="0" w:color="auto"/>
          </w:divBdr>
        </w:div>
        <w:div w:id="553657454">
          <w:marLeft w:val="0"/>
          <w:marRight w:val="0"/>
          <w:marTop w:val="0"/>
          <w:marBottom w:val="0"/>
          <w:divBdr>
            <w:top w:val="none" w:sz="0" w:space="0" w:color="auto"/>
            <w:left w:val="none" w:sz="0" w:space="0" w:color="auto"/>
            <w:bottom w:val="none" w:sz="0" w:space="0" w:color="auto"/>
            <w:right w:val="none" w:sz="0" w:space="0" w:color="auto"/>
          </w:divBdr>
        </w:div>
        <w:div w:id="589003811">
          <w:marLeft w:val="0"/>
          <w:marRight w:val="0"/>
          <w:marTop w:val="0"/>
          <w:marBottom w:val="0"/>
          <w:divBdr>
            <w:top w:val="none" w:sz="0" w:space="0" w:color="auto"/>
            <w:left w:val="none" w:sz="0" w:space="0" w:color="auto"/>
            <w:bottom w:val="none" w:sz="0" w:space="0" w:color="auto"/>
            <w:right w:val="none" w:sz="0" w:space="0" w:color="auto"/>
          </w:divBdr>
        </w:div>
      </w:divsChild>
    </w:div>
    <w:div w:id="757139113">
      <w:bodyDiv w:val="1"/>
      <w:marLeft w:val="0"/>
      <w:marRight w:val="0"/>
      <w:marTop w:val="0"/>
      <w:marBottom w:val="0"/>
      <w:divBdr>
        <w:top w:val="none" w:sz="0" w:space="0" w:color="auto"/>
        <w:left w:val="none" w:sz="0" w:space="0" w:color="auto"/>
        <w:bottom w:val="none" w:sz="0" w:space="0" w:color="auto"/>
        <w:right w:val="none" w:sz="0" w:space="0" w:color="auto"/>
      </w:divBdr>
      <w:divsChild>
        <w:div w:id="261453443">
          <w:marLeft w:val="0"/>
          <w:marRight w:val="0"/>
          <w:marTop w:val="0"/>
          <w:marBottom w:val="0"/>
          <w:divBdr>
            <w:top w:val="none" w:sz="0" w:space="0" w:color="auto"/>
            <w:left w:val="none" w:sz="0" w:space="0" w:color="auto"/>
            <w:bottom w:val="none" w:sz="0" w:space="0" w:color="auto"/>
            <w:right w:val="none" w:sz="0" w:space="0" w:color="auto"/>
          </w:divBdr>
        </w:div>
        <w:div w:id="340936422">
          <w:marLeft w:val="0"/>
          <w:marRight w:val="0"/>
          <w:marTop w:val="0"/>
          <w:marBottom w:val="0"/>
          <w:divBdr>
            <w:top w:val="none" w:sz="0" w:space="0" w:color="auto"/>
            <w:left w:val="none" w:sz="0" w:space="0" w:color="auto"/>
            <w:bottom w:val="none" w:sz="0" w:space="0" w:color="auto"/>
            <w:right w:val="none" w:sz="0" w:space="0" w:color="auto"/>
          </w:divBdr>
        </w:div>
        <w:div w:id="2027826259">
          <w:marLeft w:val="0"/>
          <w:marRight w:val="0"/>
          <w:marTop w:val="0"/>
          <w:marBottom w:val="0"/>
          <w:divBdr>
            <w:top w:val="none" w:sz="0" w:space="0" w:color="auto"/>
            <w:left w:val="none" w:sz="0" w:space="0" w:color="auto"/>
            <w:bottom w:val="none" w:sz="0" w:space="0" w:color="auto"/>
            <w:right w:val="none" w:sz="0" w:space="0" w:color="auto"/>
          </w:divBdr>
        </w:div>
        <w:div w:id="2034770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Archives/edgar/data/1816334/000181633422000001/xslFormDX01/primary_doc.x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cfe41-564f-4e14-863e-e52d54e5c4b5" xsi:nil="true"/>
    <lcf76f155ced4ddcb4097134ff3c332f xmlns="4dcc2d33-94d6-42e0-9ebc-acfa0b93f4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2F8DEB1487247953EBF2AE99B695F" ma:contentTypeVersion="12" ma:contentTypeDescription="Create a new document." ma:contentTypeScope="" ma:versionID="66ea62f609da4aeb1e3c6f1780885796">
  <xsd:schema xmlns:xsd="http://www.w3.org/2001/XMLSchema" xmlns:xs="http://www.w3.org/2001/XMLSchema" xmlns:p="http://schemas.microsoft.com/office/2006/metadata/properties" xmlns:ns2="4dcc2d33-94d6-42e0-9ebc-acfa0b93f45c" xmlns:ns3="6bdcfe41-564f-4e14-863e-e52d54e5c4b5" targetNamespace="http://schemas.microsoft.com/office/2006/metadata/properties" ma:root="true" ma:fieldsID="64c0245a9b958eda74abfce1414dcb4f" ns2:_="" ns3:_="">
    <xsd:import namespace="4dcc2d33-94d6-42e0-9ebc-acfa0b93f45c"/>
    <xsd:import namespace="6bdcfe41-564f-4e14-863e-e52d54e5c4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c2d33-94d6-42e0-9ebc-acfa0b93f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88392d-e53b-4517-ab17-cae1f5ee12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dcfe41-564f-4e14-863e-e52d54e5c4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4a233c-7b81-4be9-a1d6-120fbf923d6b}" ma:internalName="TaxCatchAll" ma:showField="CatchAllData" ma:web="6bdcfe41-564f-4e14-863e-e52d54e5c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41E87-DD42-4291-A4DC-DAC2B6A0FCFD}">
  <ds:schemaRefs>
    <ds:schemaRef ds:uri="http://schemas.microsoft.com/office/2006/metadata/properties"/>
    <ds:schemaRef ds:uri="http://schemas.microsoft.com/office/infopath/2007/PartnerControls"/>
    <ds:schemaRef ds:uri="6bdcfe41-564f-4e14-863e-e52d54e5c4b5"/>
    <ds:schemaRef ds:uri="4dcc2d33-94d6-42e0-9ebc-acfa0b93f45c"/>
  </ds:schemaRefs>
</ds:datastoreItem>
</file>

<file path=customXml/itemProps2.xml><?xml version="1.0" encoding="utf-8"?>
<ds:datastoreItem xmlns:ds="http://schemas.openxmlformats.org/officeDocument/2006/customXml" ds:itemID="{E97D37B7-9EBC-4991-BAFD-7ED21F801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c2d33-94d6-42e0-9ebc-acfa0b93f45c"/>
    <ds:schemaRef ds:uri="6bdcfe41-564f-4e14-863e-e52d54e5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5EBDB-0CE8-4C73-8BA9-FA504567F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864</Words>
  <Characters>4931</Characters>
  <Application>Microsoft Office Word</Application>
  <DocSecurity>4</DocSecurity>
  <Lines>41</Lines>
  <Paragraphs>11</Paragraphs>
  <ScaleCrop>false</ScaleCrop>
  <Company>HyPoint (BMPower)</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113</cp:revision>
  <dcterms:created xsi:type="dcterms:W3CDTF">2024-10-29T23:54:00Z</dcterms:created>
  <dcterms:modified xsi:type="dcterms:W3CDTF">2024-11-04T18:54:00Z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0x0101008922F8DEB1487247953EBF2AE99B695F</vt:lpwstr>
  </property>
  <property fmtid="{D5CDD505-2E9C-101B-9397-08002B2CF9AE}" pid="3" name="MediaServiceImageTags">
    <vt:lpwstr/>
  </property>
</Properties>
</file>